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97A90" w14:textId="0BF453E1" w:rsidR="00E0486B" w:rsidRDefault="00E0486B" w:rsidP="00635D55">
      <w:pPr>
        <w:jc w:val="center"/>
        <w:rPr>
          <w:rFonts w:ascii="Times New Roman" w:eastAsiaTheme="majorEastAsia" w:hAnsi="Times New Roman" w:cs="Times New Roman"/>
          <w:spacing w:val="-10"/>
          <w:kern w:val="28"/>
        </w:rPr>
      </w:pPr>
      <w:r w:rsidRPr="00E0486B">
        <w:rPr>
          <w:rFonts w:ascii="Times New Roman" w:eastAsiaTheme="majorEastAsia" w:hAnsi="Times New Roman" w:cs="Times New Roman"/>
          <w:spacing w:val="-10"/>
          <w:kern w:val="28"/>
        </w:rPr>
        <w:t>The Student Activities Committee (SAC), IEEE Hyderabad Section, in collaboration with</w:t>
      </w:r>
      <w:r w:rsidRPr="00E0486B">
        <w:rPr>
          <w:rFonts w:ascii="Times New Roman" w:hAnsi="Times New Roman" w:cs="Times New Roman"/>
        </w:rPr>
        <w:t xml:space="preserve"> </w:t>
      </w:r>
      <w:proofErr w:type="spellStart"/>
      <w:r w:rsidRPr="00E0486B">
        <w:rPr>
          <w:rFonts w:ascii="Times New Roman" w:hAnsi="Times New Roman" w:cs="Times New Roman"/>
        </w:rPr>
        <w:t>GyanNidhi</w:t>
      </w:r>
      <w:proofErr w:type="spellEnd"/>
      <w:r w:rsidRPr="00E0486B">
        <w:rPr>
          <w:rFonts w:ascii="Times New Roman" w:hAnsi="Times New Roman" w:cs="Times New Roman"/>
        </w:rPr>
        <w:t xml:space="preserve"> Innovations</w:t>
      </w:r>
      <w:r>
        <w:rPr>
          <w:rFonts w:ascii="Times New Roman" w:hAnsi="Times New Roman" w:cs="Times New Roman"/>
        </w:rPr>
        <w:t>,</w:t>
      </w:r>
      <w:r w:rsidRPr="00E0486B">
        <w:rPr>
          <w:rFonts w:ascii="Times New Roman" w:eastAsiaTheme="majorEastAsia" w:hAnsi="Times New Roman" w:cs="Times New Roman"/>
          <w:spacing w:val="-10"/>
          <w:kern w:val="28"/>
        </w:rPr>
        <w:t xml:space="preserve"> UTS and the IEEE VNRVJIET IES &amp; SPS Chapters, is organizing a Unified Technical Hybrid Workshop at VNRVJIET on 12th Feb.2026 from 10 AM </w:t>
      </w:r>
      <w:r>
        <w:rPr>
          <w:rFonts w:ascii="Times New Roman" w:eastAsiaTheme="majorEastAsia" w:hAnsi="Times New Roman" w:cs="Times New Roman"/>
          <w:spacing w:val="-10"/>
          <w:kern w:val="28"/>
        </w:rPr>
        <w:t>to 1PM</w:t>
      </w:r>
    </w:p>
    <w:p w14:paraId="067449C5" w14:textId="77777777" w:rsidR="00E0486B" w:rsidRDefault="00E0486B" w:rsidP="00635D55">
      <w:pPr>
        <w:jc w:val="center"/>
        <w:rPr>
          <w:rFonts w:ascii="Times New Roman" w:eastAsiaTheme="majorEastAsia" w:hAnsi="Times New Roman" w:cs="Times New Roman"/>
          <w:spacing w:val="-10"/>
          <w:kern w:val="28"/>
        </w:rPr>
      </w:pPr>
    </w:p>
    <w:p w14:paraId="220D26A6" w14:textId="77777777" w:rsidR="00E0486B" w:rsidRDefault="00E0486B" w:rsidP="00635D55">
      <w:pPr>
        <w:jc w:val="center"/>
        <w:rPr>
          <w:rFonts w:ascii="Times New Roman" w:eastAsiaTheme="majorEastAsia" w:hAnsi="Times New Roman" w:cs="Times New Roman"/>
          <w:spacing w:val="-10"/>
          <w:kern w:val="28"/>
        </w:rPr>
      </w:pPr>
    </w:p>
    <w:p w14:paraId="5C004DE8" w14:textId="77777777" w:rsidR="00E0486B" w:rsidRDefault="00E0486B" w:rsidP="00635D55">
      <w:pPr>
        <w:jc w:val="center"/>
        <w:rPr>
          <w:rFonts w:ascii="Times New Roman" w:eastAsiaTheme="majorEastAsia" w:hAnsi="Times New Roman" w:cs="Times New Roman"/>
          <w:spacing w:val="-10"/>
          <w:kern w:val="28"/>
        </w:rPr>
      </w:pPr>
    </w:p>
    <w:p w14:paraId="77C903BF" w14:textId="56A06AD6" w:rsidR="00635D55" w:rsidRPr="00E0486B" w:rsidRDefault="00E0486B" w:rsidP="00635D55">
      <w:pPr>
        <w:jc w:val="center"/>
        <w:rPr>
          <w:rFonts w:ascii="Times New Roman" w:hAnsi="Times New Roman" w:cs="Times New Roman"/>
        </w:rPr>
      </w:pPr>
      <w:r w:rsidRPr="00E0486B">
        <w:rPr>
          <w:rFonts w:ascii="Times New Roman" w:eastAsiaTheme="majorEastAsia" w:hAnsi="Times New Roman" w:cs="Times New Roman"/>
          <w:spacing w:val="-10"/>
          <w:kern w:val="28"/>
        </w:rPr>
        <w:t>o  </w:t>
      </w:r>
      <w:r w:rsidR="00635D55" w:rsidRPr="00E0486B">
        <w:rPr>
          <w:rFonts w:ascii="Times New Roman" w:hAnsi="Times New Roman" w:cs="Times New Roman"/>
          <w:noProof/>
        </w:rPr>
        <w:drawing>
          <wp:inline distT="0" distB="0" distL="0" distR="0" wp14:anchorId="7A7907E0" wp14:editId="670CBE65">
            <wp:extent cx="3457246" cy="4130338"/>
            <wp:effectExtent l="0" t="0" r="0" b="3810"/>
            <wp:docPr id="487030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61243" cy="4135114"/>
                    </a:xfrm>
                    <a:prstGeom prst="rect">
                      <a:avLst/>
                    </a:prstGeom>
                    <a:noFill/>
                    <a:ln>
                      <a:noFill/>
                    </a:ln>
                  </pic:spPr>
                </pic:pic>
              </a:graphicData>
            </a:graphic>
          </wp:inline>
        </w:drawing>
      </w:r>
    </w:p>
    <w:p w14:paraId="2507A91D" w14:textId="77777777" w:rsidR="00635D55" w:rsidRPr="00E0486B" w:rsidRDefault="00635D55" w:rsidP="00635D55">
      <w:pPr>
        <w:rPr>
          <w:rFonts w:ascii="Times New Roman" w:hAnsi="Times New Roman" w:cs="Times New Roman"/>
        </w:rPr>
      </w:pPr>
    </w:p>
    <w:p w14:paraId="7B173E20" w14:textId="468299CC" w:rsidR="00C466B3" w:rsidRDefault="00635D55" w:rsidP="00C466B3">
      <w:pPr>
        <w:rPr>
          <w:rFonts w:ascii="Times New Roman" w:hAnsi="Times New Roman" w:cs="Times New Roman"/>
        </w:rPr>
      </w:pPr>
      <w:r w:rsidRPr="00E0486B">
        <w:rPr>
          <w:rFonts w:ascii="Times New Roman" w:hAnsi="Times New Roman" w:cs="Times New Roman"/>
        </w:rPr>
        <w:br/>
      </w:r>
      <w:proofErr w:type="gramStart"/>
      <w:r w:rsidR="00C466B3">
        <w:rPr>
          <w:rFonts w:ascii="Times New Roman" w:hAnsi="Times New Roman" w:cs="Times New Roman"/>
          <w:b/>
          <w:bCs/>
        </w:rPr>
        <w:t>Date :</w:t>
      </w:r>
      <w:r w:rsidR="00C466B3" w:rsidRPr="00C466B3">
        <w:rPr>
          <w:rFonts w:ascii="Times New Roman" w:hAnsi="Times New Roman" w:cs="Times New Roman"/>
          <w:b/>
          <w:bCs/>
        </w:rPr>
        <w:t>Thursday</w:t>
      </w:r>
      <w:proofErr w:type="gramEnd"/>
      <w:r w:rsidR="00C466B3" w:rsidRPr="00C466B3">
        <w:rPr>
          <w:rFonts w:ascii="Times New Roman" w:hAnsi="Times New Roman" w:cs="Times New Roman"/>
          <w:b/>
          <w:bCs/>
        </w:rPr>
        <w:t>, 12 February 2026</w:t>
      </w:r>
      <w:r w:rsidR="00C466B3" w:rsidRPr="00C466B3">
        <w:rPr>
          <w:rFonts w:ascii="Times New Roman" w:hAnsi="Times New Roman" w:cs="Times New Roman"/>
        </w:rPr>
        <w:br/>
      </w:r>
      <w:r w:rsidR="00C466B3" w:rsidRPr="00C466B3">
        <w:rPr>
          <w:rFonts w:ascii="Times New Roman" w:hAnsi="Times New Roman" w:cs="Times New Roman"/>
          <w:b/>
          <w:bCs/>
        </w:rPr>
        <w:t>Venue:</w:t>
      </w:r>
      <w:r w:rsidR="00C466B3" w:rsidRPr="00C466B3">
        <w:rPr>
          <w:rFonts w:ascii="Times New Roman" w:hAnsi="Times New Roman" w:cs="Times New Roman"/>
        </w:rPr>
        <w:t> VNR Vignana Jyothi Institute of Engineering &amp; Technology B214 (Hybrid Mode)</w:t>
      </w:r>
    </w:p>
    <w:p w14:paraId="4D7D9FE9" w14:textId="4E374A28" w:rsidR="00C466B3" w:rsidRPr="00C466B3" w:rsidRDefault="00C466B3" w:rsidP="00C466B3">
      <w:pPr>
        <w:rPr>
          <w:rFonts w:ascii="Times New Roman" w:hAnsi="Times New Roman" w:cs="Times New Roman"/>
          <w:b/>
          <w:bCs/>
        </w:rPr>
      </w:pPr>
      <w:proofErr w:type="gramStart"/>
      <w:r w:rsidRPr="00C466B3">
        <w:rPr>
          <w:rFonts w:ascii="Times New Roman" w:hAnsi="Times New Roman" w:cs="Times New Roman"/>
          <w:b/>
          <w:bCs/>
        </w:rPr>
        <w:t>Participants :Physical</w:t>
      </w:r>
      <w:proofErr w:type="gramEnd"/>
      <w:r w:rsidRPr="00C466B3">
        <w:rPr>
          <w:rFonts w:ascii="Times New Roman" w:hAnsi="Times New Roman" w:cs="Times New Roman"/>
          <w:b/>
          <w:bCs/>
        </w:rPr>
        <w:t xml:space="preserve"> :37, Online:100 </w:t>
      </w:r>
    </w:p>
    <w:p w14:paraId="45B73B46" w14:textId="77777777" w:rsidR="00C466B3" w:rsidRPr="00C466B3" w:rsidRDefault="00C466B3" w:rsidP="00C466B3">
      <w:pPr>
        <w:rPr>
          <w:rFonts w:ascii="Times New Roman" w:hAnsi="Times New Roman" w:cs="Times New Roman"/>
        </w:rPr>
      </w:pPr>
      <w:r w:rsidRPr="00C466B3">
        <w:rPr>
          <w:rFonts w:ascii="Times New Roman" w:hAnsi="Times New Roman" w:cs="Times New Roman"/>
          <w:b/>
          <w:bCs/>
        </w:rPr>
        <w:t>Topic:</w:t>
      </w:r>
      <w:r w:rsidRPr="00C466B3">
        <w:rPr>
          <w:rFonts w:ascii="Times New Roman" w:hAnsi="Times New Roman" w:cs="Times New Roman"/>
        </w:rPr>
        <w:t> </w:t>
      </w:r>
      <w:r w:rsidRPr="00C466B3">
        <w:rPr>
          <w:rFonts w:ascii="Times New Roman" w:hAnsi="Times New Roman" w:cs="Times New Roman"/>
          <w:i/>
          <w:iCs/>
        </w:rPr>
        <w:t>QA/QC Hardware Testing, PCB Basics &amp; BOM Engineering</w:t>
      </w:r>
      <w:r w:rsidRPr="00C466B3">
        <w:rPr>
          <w:rFonts w:ascii="Times New Roman" w:hAnsi="Times New Roman" w:cs="Times New Roman"/>
        </w:rPr>
        <w:br/>
      </w:r>
      <w:r w:rsidRPr="00C466B3">
        <w:rPr>
          <w:rFonts w:ascii="Times New Roman" w:hAnsi="Times New Roman" w:cs="Times New Roman"/>
          <w:b/>
          <w:bCs/>
        </w:rPr>
        <w:t>Speaker:</w:t>
      </w:r>
      <w:r w:rsidRPr="00C466B3">
        <w:rPr>
          <w:rFonts w:ascii="Times New Roman" w:hAnsi="Times New Roman" w:cs="Times New Roman"/>
        </w:rPr>
        <w:t> </w:t>
      </w:r>
      <w:r w:rsidRPr="00C466B3">
        <w:rPr>
          <w:rFonts w:ascii="Times New Roman" w:hAnsi="Times New Roman" w:cs="Times New Roman"/>
          <w:b/>
          <w:bCs/>
        </w:rPr>
        <w:t>Dr. M. Vishnu Prasad</w:t>
      </w:r>
      <w:r w:rsidRPr="00C466B3">
        <w:rPr>
          <w:rFonts w:ascii="Times New Roman" w:hAnsi="Times New Roman" w:cs="Times New Roman"/>
          <w:b/>
          <w:bCs/>
        </w:rPr>
        <w:br/>
      </w:r>
      <w:r w:rsidRPr="00C466B3">
        <w:rPr>
          <w:rFonts w:ascii="Times New Roman" w:hAnsi="Times New Roman" w:cs="Times New Roman"/>
        </w:rPr>
        <w:t xml:space="preserve">Dr. M. Vishnu Prasad is the Strategic HR Division Head at </w:t>
      </w:r>
      <w:proofErr w:type="spellStart"/>
      <w:r w:rsidRPr="00C466B3">
        <w:rPr>
          <w:rFonts w:ascii="Times New Roman" w:hAnsi="Times New Roman" w:cs="Times New Roman"/>
        </w:rPr>
        <w:t>Unistring</w:t>
      </w:r>
      <w:proofErr w:type="spellEnd"/>
      <w:r w:rsidRPr="00C466B3">
        <w:rPr>
          <w:rFonts w:ascii="Times New Roman" w:hAnsi="Times New Roman" w:cs="Times New Roman"/>
        </w:rPr>
        <w:t xml:space="preserve"> Tech Solutions, where he leads initiatives to align talent acquisition, capability building, and training with organizational growth and long-term strategic priorities. He holds a Doctor of Philosophy (Ph.D.) in Electrical Engineering from National Institute of Technology Warangal.</w:t>
      </w:r>
      <w:r w:rsidRPr="00C466B3">
        <w:rPr>
          <w:rFonts w:ascii="Times New Roman" w:hAnsi="Times New Roman" w:cs="Times New Roman"/>
        </w:rPr>
        <w:br/>
        <w:t xml:space="preserve">An accomplished academician and industry professional, Dr. Vishnu brings over 14 years of combined experience, including 10 years in research and academia and 4 years in industrial </w:t>
      </w:r>
      <w:r w:rsidRPr="00C466B3">
        <w:rPr>
          <w:rFonts w:ascii="Times New Roman" w:hAnsi="Times New Roman" w:cs="Times New Roman"/>
        </w:rPr>
        <w:lastRenderedPageBreak/>
        <w:t>practice. As a keynote speaker, he offers a balanced perspective that bridges theory and practice, sharing insights on how strong research foundations, disciplined engineering methodologies, and real-world industry exposure together enable the development of robust, scalable, and application-ready engineering solutions.</w:t>
      </w:r>
    </w:p>
    <w:p w14:paraId="2169CAC4" w14:textId="77777777" w:rsidR="00C466B3" w:rsidRPr="00C466B3" w:rsidRDefault="00C466B3" w:rsidP="00C466B3">
      <w:pPr>
        <w:rPr>
          <w:rFonts w:ascii="Times New Roman" w:hAnsi="Times New Roman" w:cs="Times New Roman"/>
        </w:rPr>
      </w:pPr>
      <w:r w:rsidRPr="00C466B3">
        <w:rPr>
          <w:rFonts w:ascii="Times New Roman" w:hAnsi="Times New Roman" w:cs="Times New Roman"/>
        </w:rPr>
        <w:t>Day 1 of the Unified Technical Hybrid Workshop focuses on industry-oriented hardware engineering skills, providing participants with practical insights into quality assurance, quality control, PCB fundamentals, and bill of materials (BOM) engineering. The session is designed to bridge the gap between academic knowledge and real-world industry practices, enabling students to understand testing methodologies, design considerations, and production-level workflows.</w:t>
      </w:r>
    </w:p>
    <w:p w14:paraId="72948EFA" w14:textId="77777777" w:rsidR="00C466B3" w:rsidRPr="00C466B3" w:rsidRDefault="00C466B3" w:rsidP="00C466B3">
      <w:pPr>
        <w:rPr>
          <w:rFonts w:ascii="Times New Roman" w:hAnsi="Times New Roman" w:cs="Times New Roman"/>
        </w:rPr>
      </w:pPr>
      <w:r w:rsidRPr="00C466B3">
        <w:rPr>
          <w:rFonts w:ascii="Times New Roman" w:hAnsi="Times New Roman" w:cs="Times New Roman"/>
        </w:rPr>
        <w:t>This interactive hybrid session offers hands-on learning, expert guidance, and real-time industry exposure, making it highly beneficial for students aspiring to build careers in hardware design, testing, and manufacturing domains.</w:t>
      </w:r>
    </w:p>
    <w:p w14:paraId="0C5E144C" w14:textId="483DFB7D" w:rsidR="00635D55" w:rsidRPr="00E0486B" w:rsidRDefault="00635D55" w:rsidP="00635D55">
      <w:pPr>
        <w:rPr>
          <w:rFonts w:ascii="Times New Roman" w:hAnsi="Times New Roman" w:cs="Times New Roman"/>
        </w:rPr>
      </w:pPr>
    </w:p>
    <w:p w14:paraId="107208FE" w14:textId="3CBEBAFB" w:rsidR="00635D55" w:rsidRPr="00E0486B" w:rsidRDefault="00635D55" w:rsidP="00635D55">
      <w:pPr>
        <w:pStyle w:val="Heading1"/>
        <w:jc w:val="both"/>
        <w:rPr>
          <w:rFonts w:ascii="Times New Roman" w:hAnsi="Times New Roman" w:cs="Times New Roman"/>
          <w:sz w:val="24"/>
          <w:szCs w:val="24"/>
        </w:rPr>
      </w:pPr>
      <w:r w:rsidRPr="00E0486B">
        <w:rPr>
          <w:rFonts w:ascii="Times New Roman" w:hAnsi="Times New Roman" w:cs="Times New Roman"/>
          <w:sz w:val="24"/>
          <w:szCs w:val="24"/>
        </w:rPr>
        <w:t>Introduction</w:t>
      </w:r>
    </w:p>
    <w:p w14:paraId="7243A37C" w14:textId="77777777" w:rsidR="00635D55" w:rsidRPr="00E0486B" w:rsidRDefault="00635D55" w:rsidP="00635D55">
      <w:pPr>
        <w:jc w:val="both"/>
        <w:rPr>
          <w:rFonts w:ascii="Times New Roman" w:hAnsi="Times New Roman" w:cs="Times New Roman"/>
        </w:rPr>
      </w:pPr>
      <w:r w:rsidRPr="00E0486B">
        <w:rPr>
          <w:rFonts w:ascii="Times New Roman" w:hAnsi="Times New Roman" w:cs="Times New Roman"/>
        </w:rPr>
        <w:t>To bridge the gap between academic learning and industry requirements, a Unified Technical Hybrid Workshop followed by the Core Electrical &amp; Electronics Job Mela 2026 was organized to provide engineering students with industry-oriented technical exposure and direct hiring opportunities in the core Electrical and Electronics sectors. The initiative aimed to equip students with practical knowledge, familiarize them with real-world job roles, and create a platform connecting students with recruiters offering core engineering opportunities.</w:t>
      </w:r>
    </w:p>
    <w:p w14:paraId="27E3BF37" w14:textId="77777777" w:rsidR="00635D55" w:rsidRPr="00E0486B" w:rsidRDefault="00635D55" w:rsidP="00635D55">
      <w:pPr>
        <w:jc w:val="both"/>
        <w:rPr>
          <w:rFonts w:ascii="Times New Roman" w:hAnsi="Times New Roman" w:cs="Times New Roman"/>
        </w:rPr>
      </w:pPr>
      <w:r w:rsidRPr="00E0486B">
        <w:rPr>
          <w:rFonts w:ascii="Times New Roman" w:hAnsi="Times New Roman" w:cs="Times New Roman"/>
        </w:rPr>
        <w:t>The workshop sessions were conducted in hybrid mode, enabling both on-campus participation and live online interaction, ensuring wider student engagement.</w:t>
      </w:r>
    </w:p>
    <w:p w14:paraId="11E15053" w14:textId="7C28A20D" w:rsidR="00635D55" w:rsidRPr="00E0486B" w:rsidRDefault="00635D55" w:rsidP="00635D55">
      <w:pPr>
        <w:pStyle w:val="Heading1"/>
        <w:jc w:val="both"/>
        <w:rPr>
          <w:rFonts w:ascii="Times New Roman" w:hAnsi="Times New Roman" w:cs="Times New Roman"/>
          <w:sz w:val="24"/>
          <w:szCs w:val="24"/>
        </w:rPr>
      </w:pPr>
      <w:r w:rsidRPr="00E0486B">
        <w:rPr>
          <w:rFonts w:ascii="Times New Roman" w:hAnsi="Times New Roman" w:cs="Times New Roman"/>
          <w:sz w:val="24"/>
          <w:szCs w:val="24"/>
        </w:rPr>
        <w:t>Technical Sessions and Modules Covered</w:t>
      </w:r>
    </w:p>
    <w:p w14:paraId="404127E8" w14:textId="77777777" w:rsidR="00635D55" w:rsidRPr="00E0486B" w:rsidRDefault="00635D55" w:rsidP="00635D55">
      <w:pPr>
        <w:jc w:val="both"/>
        <w:rPr>
          <w:rFonts w:ascii="Times New Roman" w:hAnsi="Times New Roman" w:cs="Times New Roman"/>
        </w:rPr>
      </w:pPr>
      <w:r w:rsidRPr="00E0486B">
        <w:rPr>
          <w:rFonts w:ascii="Times New Roman" w:hAnsi="Times New Roman" w:cs="Times New Roman"/>
        </w:rPr>
        <w:t>During the workshop, participants were introduced to several industry-relevant hardware testing, debugging, and product validation modules, providing both conceptual understanding and practical insights into electronic product development and quality assurance workflows. The major modules covered during the sessions included:</w:t>
      </w:r>
    </w:p>
    <w:p w14:paraId="1EA4C7B3" w14:textId="77777777" w:rsidR="00635D55" w:rsidRPr="00E0486B" w:rsidRDefault="00635D55" w:rsidP="00635D55">
      <w:pPr>
        <w:numPr>
          <w:ilvl w:val="0"/>
          <w:numId w:val="2"/>
        </w:numPr>
        <w:rPr>
          <w:rFonts w:ascii="Times New Roman" w:hAnsi="Times New Roman" w:cs="Times New Roman"/>
        </w:rPr>
      </w:pPr>
      <w:r w:rsidRPr="00E0486B">
        <w:rPr>
          <w:rFonts w:ascii="Times New Roman" w:hAnsi="Times New Roman" w:cs="Times New Roman"/>
          <w:b/>
          <w:bCs/>
        </w:rPr>
        <w:t>Module 1: QC vs Testing vs Integration</w:t>
      </w:r>
      <w:r w:rsidRPr="00E0486B">
        <w:rPr>
          <w:rFonts w:ascii="Times New Roman" w:hAnsi="Times New Roman" w:cs="Times New Roman"/>
        </w:rPr>
        <w:br/>
        <w:t>Understanding the differences between quality control, product testing, and system integration and their roles in ensuring product reliability.</w:t>
      </w:r>
    </w:p>
    <w:p w14:paraId="328DDE64" w14:textId="77777777" w:rsidR="00635D55" w:rsidRPr="00E0486B" w:rsidRDefault="00635D55" w:rsidP="00635D55">
      <w:pPr>
        <w:numPr>
          <w:ilvl w:val="0"/>
          <w:numId w:val="2"/>
        </w:numPr>
        <w:rPr>
          <w:rFonts w:ascii="Times New Roman" w:hAnsi="Times New Roman" w:cs="Times New Roman"/>
        </w:rPr>
      </w:pPr>
      <w:r w:rsidRPr="00E0486B">
        <w:rPr>
          <w:rFonts w:ascii="Times New Roman" w:hAnsi="Times New Roman" w:cs="Times New Roman"/>
          <w:b/>
          <w:bCs/>
        </w:rPr>
        <w:t>Module 3: Assembled PCB (PCBA) QC – Common Component Defects</w:t>
      </w:r>
      <w:r w:rsidRPr="00E0486B">
        <w:rPr>
          <w:rFonts w:ascii="Times New Roman" w:hAnsi="Times New Roman" w:cs="Times New Roman"/>
        </w:rPr>
        <w:br/>
        <w:t>Identification of PCB assembly defects such as missing components, incorrect placement, polarity errors, and damaged components, along with inspection techniques.</w:t>
      </w:r>
    </w:p>
    <w:p w14:paraId="07997D4B" w14:textId="77777777" w:rsidR="00635D55" w:rsidRPr="00E0486B" w:rsidRDefault="00635D55" w:rsidP="00635D55">
      <w:pPr>
        <w:numPr>
          <w:ilvl w:val="0"/>
          <w:numId w:val="2"/>
        </w:numPr>
        <w:rPr>
          <w:rFonts w:ascii="Times New Roman" w:hAnsi="Times New Roman" w:cs="Times New Roman"/>
        </w:rPr>
      </w:pPr>
      <w:r w:rsidRPr="00E0486B">
        <w:rPr>
          <w:rFonts w:ascii="Times New Roman" w:hAnsi="Times New Roman" w:cs="Times New Roman"/>
          <w:b/>
          <w:bCs/>
        </w:rPr>
        <w:lastRenderedPageBreak/>
        <w:t>Module 4: Power Rail and Current Checks</w:t>
      </w:r>
      <w:r w:rsidRPr="00E0486B">
        <w:rPr>
          <w:rFonts w:ascii="Times New Roman" w:hAnsi="Times New Roman" w:cs="Times New Roman"/>
        </w:rPr>
        <w:br/>
        <w:t>Verification of voltage rails, current consumption, and electrical performance using standard measurement instruments.</w:t>
      </w:r>
    </w:p>
    <w:p w14:paraId="26686D5B" w14:textId="77777777" w:rsidR="00635D55" w:rsidRPr="00E0486B" w:rsidRDefault="00635D55" w:rsidP="00635D55">
      <w:pPr>
        <w:numPr>
          <w:ilvl w:val="0"/>
          <w:numId w:val="2"/>
        </w:numPr>
        <w:rPr>
          <w:rFonts w:ascii="Times New Roman" w:hAnsi="Times New Roman" w:cs="Times New Roman"/>
        </w:rPr>
      </w:pPr>
      <w:r w:rsidRPr="00E0486B">
        <w:rPr>
          <w:rFonts w:ascii="Times New Roman" w:hAnsi="Times New Roman" w:cs="Times New Roman"/>
          <w:b/>
          <w:bCs/>
        </w:rPr>
        <w:t>Module 4: Clock, Reset, and Boot Verification</w:t>
      </w:r>
      <w:r w:rsidRPr="00E0486B">
        <w:rPr>
          <w:rFonts w:ascii="Times New Roman" w:hAnsi="Times New Roman" w:cs="Times New Roman"/>
        </w:rPr>
        <w:br/>
        <w:t>Testing of clock signals, reset circuits, and system boot processes to ensure proper hardware initialization.</w:t>
      </w:r>
    </w:p>
    <w:p w14:paraId="0F37FE00" w14:textId="77777777" w:rsidR="00635D55" w:rsidRPr="00E0486B" w:rsidRDefault="00635D55" w:rsidP="00635D55">
      <w:pPr>
        <w:numPr>
          <w:ilvl w:val="0"/>
          <w:numId w:val="2"/>
        </w:numPr>
        <w:rPr>
          <w:rFonts w:ascii="Times New Roman" w:hAnsi="Times New Roman" w:cs="Times New Roman"/>
        </w:rPr>
      </w:pPr>
      <w:r w:rsidRPr="00E0486B">
        <w:rPr>
          <w:rFonts w:ascii="Times New Roman" w:hAnsi="Times New Roman" w:cs="Times New Roman"/>
          <w:b/>
          <w:bCs/>
        </w:rPr>
        <w:t>Module 5: RF Functional Testing (Intro Level)</w:t>
      </w:r>
      <w:r w:rsidRPr="00E0486B">
        <w:rPr>
          <w:rFonts w:ascii="Times New Roman" w:hAnsi="Times New Roman" w:cs="Times New Roman"/>
        </w:rPr>
        <w:br/>
        <w:t>Introduction to RF testing concepts, measurement setups, and validation of RF hardware performance.</w:t>
      </w:r>
    </w:p>
    <w:p w14:paraId="7217F37B" w14:textId="77777777" w:rsidR="00635D55" w:rsidRPr="00E0486B" w:rsidRDefault="00635D55" w:rsidP="00635D55">
      <w:pPr>
        <w:numPr>
          <w:ilvl w:val="0"/>
          <w:numId w:val="2"/>
        </w:numPr>
        <w:rPr>
          <w:rFonts w:ascii="Times New Roman" w:hAnsi="Times New Roman" w:cs="Times New Roman"/>
        </w:rPr>
      </w:pPr>
      <w:r w:rsidRPr="00E0486B">
        <w:rPr>
          <w:rFonts w:ascii="Times New Roman" w:hAnsi="Times New Roman" w:cs="Times New Roman"/>
          <w:b/>
          <w:bCs/>
        </w:rPr>
        <w:t>Module 6: Mechanical Fitment and Alignment</w:t>
      </w:r>
      <w:r w:rsidRPr="00E0486B">
        <w:rPr>
          <w:rFonts w:ascii="Times New Roman" w:hAnsi="Times New Roman" w:cs="Times New Roman"/>
        </w:rPr>
        <w:br/>
        <w:t>Ensuring correct mechanical placement, structural alignment, and enclosure compatibility of electronic boards and modules.</w:t>
      </w:r>
    </w:p>
    <w:p w14:paraId="1BE49957" w14:textId="77777777" w:rsidR="00635D55" w:rsidRPr="00E0486B" w:rsidRDefault="00635D55" w:rsidP="00635D55">
      <w:pPr>
        <w:numPr>
          <w:ilvl w:val="0"/>
          <w:numId w:val="2"/>
        </w:numPr>
        <w:rPr>
          <w:rFonts w:ascii="Times New Roman" w:hAnsi="Times New Roman" w:cs="Times New Roman"/>
        </w:rPr>
      </w:pPr>
      <w:r w:rsidRPr="00E0486B">
        <w:rPr>
          <w:rFonts w:ascii="Times New Roman" w:hAnsi="Times New Roman" w:cs="Times New Roman"/>
          <w:b/>
          <w:bCs/>
        </w:rPr>
        <w:t>Module 7: End-to-End Functional Verification</w:t>
      </w:r>
      <w:r w:rsidRPr="00E0486B">
        <w:rPr>
          <w:rFonts w:ascii="Times New Roman" w:hAnsi="Times New Roman" w:cs="Times New Roman"/>
        </w:rPr>
        <w:br/>
        <w:t>Performing complete system-level functional testing to confirm proper operation after assembly and integration.</w:t>
      </w:r>
    </w:p>
    <w:p w14:paraId="2BDB6890" w14:textId="77777777" w:rsidR="00635D55" w:rsidRPr="00E0486B" w:rsidRDefault="00635D55" w:rsidP="00635D55">
      <w:pPr>
        <w:numPr>
          <w:ilvl w:val="0"/>
          <w:numId w:val="2"/>
        </w:numPr>
        <w:rPr>
          <w:rFonts w:ascii="Times New Roman" w:hAnsi="Times New Roman" w:cs="Times New Roman"/>
        </w:rPr>
      </w:pPr>
      <w:r w:rsidRPr="00E0486B">
        <w:rPr>
          <w:rFonts w:ascii="Times New Roman" w:hAnsi="Times New Roman" w:cs="Times New Roman"/>
          <w:b/>
          <w:bCs/>
        </w:rPr>
        <w:t>Module 8: Isolation of Faulty Boards or Modules</w:t>
      </w:r>
      <w:r w:rsidRPr="00E0486B">
        <w:rPr>
          <w:rFonts w:ascii="Times New Roman" w:hAnsi="Times New Roman" w:cs="Times New Roman"/>
        </w:rPr>
        <w:br/>
        <w:t>Techniques for diagnosing faults by isolating defective modules through systematic testing and troubleshooting procedures.</w:t>
      </w:r>
    </w:p>
    <w:p w14:paraId="1B471A81" w14:textId="77777777" w:rsidR="00635D55" w:rsidRPr="00E0486B" w:rsidRDefault="00635D55" w:rsidP="00635D55">
      <w:pPr>
        <w:jc w:val="both"/>
        <w:rPr>
          <w:rFonts w:ascii="Times New Roman" w:hAnsi="Times New Roman" w:cs="Times New Roman"/>
        </w:rPr>
      </w:pPr>
      <w:r w:rsidRPr="00E0486B">
        <w:rPr>
          <w:rFonts w:ascii="Times New Roman" w:hAnsi="Times New Roman" w:cs="Times New Roman"/>
        </w:rPr>
        <w:t>These modules collectively provided students with a comprehensive understanding of hardware validation workflows followed in electronics manufacturing, testing laboratories, and product engineering environments, helping them gain exposure to real-time debugging and troubleshooting practices used in industry.</w:t>
      </w:r>
    </w:p>
    <w:p w14:paraId="61C72BB5" w14:textId="651F575A" w:rsidR="00635D55" w:rsidRPr="00E0486B" w:rsidRDefault="00635D55" w:rsidP="00635D55">
      <w:pPr>
        <w:pStyle w:val="Heading1"/>
        <w:jc w:val="both"/>
        <w:rPr>
          <w:rFonts w:ascii="Times New Roman" w:hAnsi="Times New Roman" w:cs="Times New Roman"/>
          <w:sz w:val="24"/>
          <w:szCs w:val="24"/>
        </w:rPr>
      </w:pPr>
      <w:r w:rsidRPr="00E0486B">
        <w:rPr>
          <w:rFonts w:ascii="Times New Roman" w:hAnsi="Times New Roman" w:cs="Times New Roman"/>
          <w:sz w:val="24"/>
          <w:szCs w:val="24"/>
        </w:rPr>
        <w:t>Core Electrical &amp; Electronics Job Mela 2026</w:t>
      </w:r>
    </w:p>
    <w:p w14:paraId="3398F286" w14:textId="77777777" w:rsidR="00635D55" w:rsidRPr="00E0486B" w:rsidRDefault="00635D55" w:rsidP="00635D55">
      <w:pPr>
        <w:jc w:val="both"/>
        <w:rPr>
          <w:rFonts w:ascii="Times New Roman" w:hAnsi="Times New Roman" w:cs="Times New Roman"/>
        </w:rPr>
      </w:pPr>
      <w:r w:rsidRPr="00E0486B">
        <w:rPr>
          <w:rFonts w:ascii="Times New Roman" w:hAnsi="Times New Roman" w:cs="Times New Roman"/>
        </w:rPr>
        <w:t>Following the workshop, the Core Electrical &amp; Electronics Job Mela was conducted on 16th February 2026, offering 100+ job openings across various core industry roles. The event provided students with an opportunity to participate in career-oriented sessions, interact with recruiters, and explore direct hiring opportunities in the electrical and electronics domain.</w:t>
      </w:r>
    </w:p>
    <w:p w14:paraId="0D9CD9B9" w14:textId="77777777" w:rsidR="00635D55" w:rsidRPr="00E0486B" w:rsidRDefault="00635D55" w:rsidP="00635D55">
      <w:pPr>
        <w:jc w:val="both"/>
        <w:rPr>
          <w:rFonts w:ascii="Times New Roman" w:hAnsi="Times New Roman" w:cs="Times New Roman"/>
        </w:rPr>
      </w:pPr>
      <w:r w:rsidRPr="00E0486B">
        <w:rPr>
          <w:rFonts w:ascii="Times New Roman" w:hAnsi="Times New Roman" w:cs="Times New Roman"/>
        </w:rPr>
        <w:t>The Job Mela served as a platform connecting industry organizations with aspiring engineering graduates, encouraging students to pursue careers in core engineering sectors while strengthening industry-academia collaboration.</w:t>
      </w:r>
    </w:p>
    <w:p w14:paraId="75290FE6" w14:textId="57991AEE" w:rsidR="00635D55" w:rsidRPr="00E0486B" w:rsidRDefault="00635D55" w:rsidP="00635D55">
      <w:pPr>
        <w:pStyle w:val="Heading1"/>
        <w:jc w:val="both"/>
        <w:rPr>
          <w:rFonts w:ascii="Times New Roman" w:hAnsi="Times New Roman" w:cs="Times New Roman"/>
          <w:sz w:val="24"/>
          <w:szCs w:val="24"/>
        </w:rPr>
      </w:pPr>
      <w:r w:rsidRPr="00E0486B">
        <w:rPr>
          <w:rFonts w:ascii="Times New Roman" w:hAnsi="Times New Roman" w:cs="Times New Roman"/>
          <w:sz w:val="24"/>
          <w:szCs w:val="24"/>
        </w:rPr>
        <w:t>Conclusion</w:t>
      </w:r>
    </w:p>
    <w:p w14:paraId="4FE5F2EB" w14:textId="12C0C089" w:rsidR="00635D55" w:rsidRPr="00E0486B" w:rsidRDefault="00635D55" w:rsidP="00635D55">
      <w:pPr>
        <w:jc w:val="both"/>
        <w:rPr>
          <w:rFonts w:ascii="Times New Roman" w:hAnsi="Times New Roman" w:cs="Times New Roman"/>
        </w:rPr>
      </w:pPr>
      <w:r w:rsidRPr="00E0486B">
        <w:rPr>
          <w:rFonts w:ascii="Times New Roman" w:hAnsi="Times New Roman" w:cs="Times New Roman"/>
        </w:rPr>
        <w:t xml:space="preserve">The Unified Technical Hybrid Workshop and the Core Electrical &amp; Electronics Job Mela 2026 successfully provided students with valuable technical exposure, industry insights, and employment opportunities. The initiative helped participants understand real-world engineering practices, develop job-relevant technical skills, and prepare effectively for core industry careers. The organizers were appreciated for conducting a well-structured program </w:t>
      </w:r>
      <w:r w:rsidRPr="00E0486B">
        <w:rPr>
          <w:rFonts w:ascii="Times New Roman" w:hAnsi="Times New Roman" w:cs="Times New Roman"/>
        </w:rPr>
        <w:lastRenderedPageBreak/>
        <w:t>that significantly benefited engineering students by combining technical learning with direct placement opportunities.</w:t>
      </w:r>
    </w:p>
    <w:p w14:paraId="4C3760E3" w14:textId="77777777" w:rsidR="00635D55" w:rsidRPr="00E0486B" w:rsidRDefault="00635D55" w:rsidP="00635D55">
      <w:pPr>
        <w:jc w:val="both"/>
        <w:rPr>
          <w:rFonts w:ascii="Times New Roman" w:hAnsi="Times New Roman" w:cs="Times New Roman"/>
        </w:rPr>
      </w:pPr>
    </w:p>
    <w:p w14:paraId="20FB67A1" w14:textId="77777777" w:rsidR="00C466B3" w:rsidRDefault="00C466B3" w:rsidP="00635D55">
      <w:pPr>
        <w:jc w:val="both"/>
        <w:rPr>
          <w:rFonts w:ascii="Times New Roman" w:hAnsi="Times New Roman" w:cs="Times New Roman"/>
          <w:b/>
          <w:bCs/>
        </w:rPr>
      </w:pPr>
    </w:p>
    <w:p w14:paraId="70B89CF1" w14:textId="0E95B989" w:rsidR="00635D55" w:rsidRPr="00E0486B" w:rsidRDefault="008803F7" w:rsidP="00635D55">
      <w:pPr>
        <w:jc w:val="both"/>
        <w:rPr>
          <w:rFonts w:ascii="Times New Roman" w:hAnsi="Times New Roman" w:cs="Times New Roman"/>
          <w:b/>
          <w:bCs/>
        </w:rPr>
      </w:pPr>
      <w:r w:rsidRPr="00E0486B">
        <w:rPr>
          <w:rFonts w:ascii="Times New Roman" w:hAnsi="Times New Roman" w:cs="Times New Roman"/>
          <w:b/>
          <w:bCs/>
        </w:rPr>
        <w:t>Photographs</w:t>
      </w:r>
    </w:p>
    <w:p w14:paraId="6ABFE657" w14:textId="382F1964" w:rsidR="00C466B3" w:rsidRPr="00C466B3" w:rsidRDefault="00635D55" w:rsidP="00C466B3">
      <w:pPr>
        <w:jc w:val="both"/>
        <w:rPr>
          <w:noProof/>
        </w:rPr>
      </w:pPr>
      <w:r w:rsidRPr="00E0486B">
        <w:rPr>
          <w:rFonts w:ascii="Times New Roman" w:hAnsi="Times New Roman" w:cs="Times New Roman"/>
          <w:noProof/>
        </w:rPr>
        <w:t xml:space="preserve"> </w:t>
      </w:r>
      <w:r w:rsidRPr="00E0486B">
        <w:rPr>
          <w:rFonts w:ascii="Times New Roman" w:hAnsi="Times New Roman" w:cs="Times New Roman"/>
          <w:noProof/>
        </w:rPr>
        <w:drawing>
          <wp:inline distT="0" distB="0" distL="0" distR="0" wp14:anchorId="4EE35982" wp14:editId="288D2499">
            <wp:extent cx="2400300" cy="2072640"/>
            <wp:effectExtent l="0" t="0" r="0" b="381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a:picLocks/>
                    </pic:cNvPicPr>
                  </pic:nvPicPr>
                  <pic:blipFill>
                    <a:blip r:embed="rId6" cstate="print"/>
                    <a:stretch>
                      <a:fillRect/>
                    </a:stretch>
                  </pic:blipFill>
                  <pic:spPr>
                    <a:xfrm>
                      <a:off x="0" y="0"/>
                      <a:ext cx="2400300" cy="2072640"/>
                    </a:xfrm>
                    <a:prstGeom prst="rect">
                      <a:avLst/>
                    </a:prstGeom>
                  </pic:spPr>
                </pic:pic>
              </a:graphicData>
            </a:graphic>
          </wp:inline>
        </w:drawing>
      </w:r>
      <w:r w:rsidRPr="00E0486B">
        <w:rPr>
          <w:rFonts w:ascii="Times New Roman" w:hAnsi="Times New Roman" w:cs="Times New Roman"/>
          <w:noProof/>
        </w:rPr>
        <w:t xml:space="preserve">                 </w:t>
      </w:r>
      <w:r w:rsidR="00C466B3" w:rsidRPr="00C466B3">
        <w:rPr>
          <w:noProof/>
        </w:rPr>
        <w:drawing>
          <wp:inline distT="0" distB="0" distL="0" distR="0" wp14:anchorId="6AE1928C" wp14:editId="5AE235BD">
            <wp:extent cx="2665730" cy="1989934"/>
            <wp:effectExtent l="0" t="0" r="1270" b="0"/>
            <wp:docPr id="1326574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2474" cy="2002433"/>
                    </a:xfrm>
                    <a:prstGeom prst="rect">
                      <a:avLst/>
                    </a:prstGeom>
                    <a:noFill/>
                    <a:ln>
                      <a:noFill/>
                    </a:ln>
                  </pic:spPr>
                </pic:pic>
              </a:graphicData>
            </a:graphic>
          </wp:inline>
        </w:drawing>
      </w:r>
    </w:p>
    <w:p w14:paraId="14AA630C" w14:textId="735683C4" w:rsidR="00C466B3" w:rsidRPr="00C466B3" w:rsidRDefault="00635D55" w:rsidP="00C466B3">
      <w:pPr>
        <w:pStyle w:val="NormalWeb"/>
        <w:rPr>
          <w:rFonts w:eastAsia="Times New Roman"/>
          <w:kern w:val="0"/>
          <w:lang w:eastAsia="en-IN"/>
          <w14:ligatures w14:val="none"/>
        </w:rPr>
      </w:pPr>
      <w:r w:rsidRPr="00E0486B">
        <w:rPr>
          <w:noProof/>
        </w:rPr>
        <w:drawing>
          <wp:inline distT="0" distB="0" distL="0" distR="0" wp14:anchorId="535B9762" wp14:editId="55B98244">
            <wp:extent cx="2583180" cy="2072640"/>
            <wp:effectExtent l="0" t="0" r="7620" b="381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a:picLocks/>
                    </pic:cNvPicPr>
                  </pic:nvPicPr>
                  <pic:blipFill>
                    <a:blip r:embed="rId8" cstate="print"/>
                    <a:stretch>
                      <a:fillRect/>
                    </a:stretch>
                  </pic:blipFill>
                  <pic:spPr>
                    <a:xfrm>
                      <a:off x="0" y="0"/>
                      <a:ext cx="2583180" cy="2072640"/>
                    </a:xfrm>
                    <a:prstGeom prst="rect">
                      <a:avLst/>
                    </a:prstGeom>
                  </pic:spPr>
                </pic:pic>
              </a:graphicData>
            </a:graphic>
          </wp:inline>
        </w:drawing>
      </w:r>
      <w:r w:rsidR="00C466B3" w:rsidRPr="00C466B3">
        <w:rPr>
          <w:rFonts w:eastAsia="Times New Roman"/>
          <w:noProof/>
          <w:kern w:val="0"/>
          <w:lang w:eastAsia="en-IN"/>
          <w14:ligatures w14:val="none"/>
        </w:rPr>
        <w:t xml:space="preserve"> </w:t>
      </w:r>
      <w:r w:rsidR="00C466B3" w:rsidRPr="00C466B3">
        <w:rPr>
          <w:rFonts w:eastAsia="Times New Roman"/>
          <w:noProof/>
          <w:kern w:val="0"/>
          <w:lang w:eastAsia="en-IN"/>
          <w14:ligatures w14:val="none"/>
        </w:rPr>
        <w:drawing>
          <wp:inline distT="0" distB="0" distL="0" distR="0" wp14:anchorId="7923D629" wp14:editId="1B53048C">
            <wp:extent cx="2924175" cy="2075815"/>
            <wp:effectExtent l="0" t="0" r="9525" b="63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1841" cy="2088356"/>
                    </a:xfrm>
                    <a:prstGeom prst="rect">
                      <a:avLst/>
                    </a:prstGeom>
                    <a:noFill/>
                    <a:ln>
                      <a:noFill/>
                    </a:ln>
                  </pic:spPr>
                </pic:pic>
              </a:graphicData>
            </a:graphic>
          </wp:inline>
        </w:drawing>
      </w:r>
    </w:p>
    <w:p w14:paraId="5D6D5320" w14:textId="67A67D5A" w:rsidR="00635D55" w:rsidRPr="00E0486B" w:rsidRDefault="00635D55" w:rsidP="00635D55">
      <w:pPr>
        <w:jc w:val="both"/>
        <w:rPr>
          <w:rFonts w:ascii="Times New Roman" w:hAnsi="Times New Roman" w:cs="Times New Roman"/>
          <w:noProof/>
        </w:rPr>
      </w:pPr>
    </w:p>
    <w:p w14:paraId="1F21BFBB" w14:textId="36ACCC1A" w:rsidR="00635D55" w:rsidRPr="00E0486B" w:rsidRDefault="00891356" w:rsidP="00635D55">
      <w:pPr>
        <w:jc w:val="both"/>
        <w:rPr>
          <w:rFonts w:ascii="Times New Roman" w:hAnsi="Times New Roman" w:cs="Times New Roman"/>
          <w:noProof/>
        </w:rPr>
      </w:pPr>
      <w:r w:rsidRPr="00E0486B">
        <w:rPr>
          <w:rFonts w:ascii="Times New Roman" w:hAnsi="Times New Roman" w:cs="Times New Roman"/>
          <w:noProof/>
        </w:rPr>
        <w:drawing>
          <wp:inline distT="0" distB="0" distL="0" distR="0" wp14:anchorId="08AB86A7" wp14:editId="53206AAE">
            <wp:extent cx="2720340" cy="2133600"/>
            <wp:effectExtent l="0" t="0" r="381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a:picLocks/>
                    </pic:cNvPicPr>
                  </pic:nvPicPr>
                  <pic:blipFill>
                    <a:blip r:embed="rId10" cstate="print"/>
                    <a:stretch>
                      <a:fillRect/>
                    </a:stretch>
                  </pic:blipFill>
                  <pic:spPr>
                    <a:xfrm>
                      <a:off x="0" y="0"/>
                      <a:ext cx="2720340" cy="2133600"/>
                    </a:xfrm>
                    <a:prstGeom prst="rect">
                      <a:avLst/>
                    </a:prstGeom>
                  </pic:spPr>
                </pic:pic>
              </a:graphicData>
            </a:graphic>
          </wp:inline>
        </w:drawing>
      </w:r>
      <w:r w:rsidRPr="00E0486B">
        <w:rPr>
          <w:rFonts w:ascii="Times New Roman" w:hAnsi="Times New Roman" w:cs="Times New Roman"/>
        </w:rPr>
        <w:t xml:space="preserve">           </w:t>
      </w:r>
      <w:r w:rsidRPr="00E0486B">
        <w:rPr>
          <w:rFonts w:ascii="Times New Roman" w:hAnsi="Times New Roman" w:cs="Times New Roman"/>
          <w:noProof/>
        </w:rPr>
        <w:t xml:space="preserve">  </w:t>
      </w:r>
      <w:r w:rsidRPr="00E0486B">
        <w:rPr>
          <w:rFonts w:ascii="Times New Roman" w:hAnsi="Times New Roman" w:cs="Times New Roman"/>
          <w:noProof/>
        </w:rPr>
        <w:drawing>
          <wp:inline distT="0" distB="0" distL="0" distR="0" wp14:anchorId="1610AE89" wp14:editId="797AD576">
            <wp:extent cx="2606040" cy="2125980"/>
            <wp:effectExtent l="0" t="0" r="3810" b="762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a:picLocks/>
                    </pic:cNvPicPr>
                  </pic:nvPicPr>
                  <pic:blipFill>
                    <a:blip r:embed="rId11" cstate="print"/>
                    <a:stretch>
                      <a:fillRect/>
                    </a:stretch>
                  </pic:blipFill>
                  <pic:spPr>
                    <a:xfrm>
                      <a:off x="0" y="0"/>
                      <a:ext cx="2606040" cy="2125980"/>
                    </a:xfrm>
                    <a:prstGeom prst="rect">
                      <a:avLst/>
                    </a:prstGeom>
                  </pic:spPr>
                </pic:pic>
              </a:graphicData>
            </a:graphic>
          </wp:inline>
        </w:drawing>
      </w:r>
    </w:p>
    <w:p w14:paraId="2FD92525" w14:textId="77777777" w:rsidR="008803F7" w:rsidRPr="00E0486B" w:rsidRDefault="008803F7" w:rsidP="00635D55">
      <w:pPr>
        <w:jc w:val="both"/>
        <w:rPr>
          <w:rFonts w:ascii="Times New Roman" w:hAnsi="Times New Roman" w:cs="Times New Roman"/>
          <w:noProof/>
        </w:rPr>
      </w:pPr>
    </w:p>
    <w:p w14:paraId="273A6959" w14:textId="77777777" w:rsidR="008803F7" w:rsidRPr="00E0486B" w:rsidRDefault="008803F7" w:rsidP="00635D55">
      <w:pPr>
        <w:jc w:val="both"/>
        <w:rPr>
          <w:rFonts w:ascii="Times New Roman" w:hAnsi="Times New Roman" w:cs="Times New Roman"/>
          <w:noProof/>
        </w:rPr>
      </w:pPr>
    </w:p>
    <w:p w14:paraId="196612AD" w14:textId="77777777" w:rsidR="008803F7" w:rsidRPr="00E0486B" w:rsidRDefault="008803F7" w:rsidP="00635D55">
      <w:pPr>
        <w:jc w:val="both"/>
        <w:rPr>
          <w:rFonts w:ascii="Times New Roman" w:hAnsi="Times New Roman" w:cs="Times New Roman"/>
          <w:noProof/>
        </w:rPr>
      </w:pPr>
    </w:p>
    <w:p w14:paraId="7209D8E3" w14:textId="43F8D5B3" w:rsidR="008803F7" w:rsidRPr="00E0486B" w:rsidRDefault="008803F7" w:rsidP="00635D55">
      <w:pPr>
        <w:jc w:val="both"/>
        <w:rPr>
          <w:rFonts w:ascii="Times New Roman" w:hAnsi="Times New Roman" w:cs="Times New Roman"/>
          <w:noProof/>
        </w:rPr>
      </w:pPr>
      <w:r w:rsidRPr="00E0486B">
        <w:rPr>
          <w:rFonts w:ascii="Times New Roman" w:hAnsi="Times New Roman" w:cs="Times New Roman"/>
          <w:noProof/>
        </w:rPr>
        <w:t xml:space="preserve">Attendance: </w:t>
      </w:r>
      <w:r w:rsidRPr="00E0486B">
        <w:rPr>
          <w:rFonts w:ascii="Times New Roman" w:hAnsi="Times New Roman" w:cs="Times New Roman"/>
          <w:noProof/>
        </w:rPr>
        <w:br/>
      </w:r>
      <w:r w:rsidR="00BB15A4" w:rsidRPr="00E0486B">
        <w:rPr>
          <w:rFonts w:ascii="Times New Roman" w:hAnsi="Times New Roman" w:cs="Times New Roman"/>
          <w:noProof/>
        </w:rPr>
        <mc:AlternateContent>
          <mc:Choice Requires="wps">
            <w:drawing>
              <wp:inline distT="0" distB="0" distL="0" distR="0" wp14:anchorId="147A82BD" wp14:editId="7DC4AAF4">
                <wp:extent cx="304800" cy="304800"/>
                <wp:effectExtent l="0" t="0" r="0" b="0"/>
                <wp:docPr id="148497951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38050"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BB15A4" w:rsidRPr="00E0486B">
        <w:rPr>
          <w:rFonts w:ascii="Times New Roman" w:hAnsi="Times New Roman" w:cs="Times New Roman"/>
          <w:noProof/>
        </w:rPr>
        <w:drawing>
          <wp:inline distT="0" distB="0" distL="0" distR="0" wp14:anchorId="78D0132C" wp14:editId="52F40141">
            <wp:extent cx="3011107" cy="5474740"/>
            <wp:effectExtent l="6350" t="0" r="5715" b="5715"/>
            <wp:docPr id="1475997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3011832" cy="5476058"/>
                    </a:xfrm>
                    <a:prstGeom prst="rect">
                      <a:avLst/>
                    </a:prstGeom>
                    <a:noFill/>
                  </pic:spPr>
                </pic:pic>
              </a:graphicData>
            </a:graphic>
          </wp:inline>
        </w:drawing>
      </w:r>
    </w:p>
    <w:p w14:paraId="19B29066" w14:textId="7194FF1F" w:rsidR="00BB15A4" w:rsidRPr="00E0486B" w:rsidRDefault="00BB15A4" w:rsidP="00635D55">
      <w:pPr>
        <w:jc w:val="both"/>
        <w:rPr>
          <w:rFonts w:ascii="Times New Roman" w:hAnsi="Times New Roman" w:cs="Times New Roman"/>
          <w:noProof/>
        </w:rPr>
      </w:pPr>
      <w:r w:rsidRPr="00E0486B">
        <w:rPr>
          <w:rFonts w:ascii="Times New Roman" w:hAnsi="Times New Roman" w:cs="Times New Roman"/>
          <w:noProof/>
        </w:rPr>
        <w:drawing>
          <wp:inline distT="0" distB="0" distL="0" distR="0" wp14:anchorId="5BD770BF" wp14:editId="6914830A">
            <wp:extent cx="5330488" cy="3897919"/>
            <wp:effectExtent l="0" t="0" r="3810" b="7620"/>
            <wp:docPr id="993539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0807" cy="3898152"/>
                    </a:xfrm>
                    <a:prstGeom prst="rect">
                      <a:avLst/>
                    </a:prstGeom>
                    <a:noFill/>
                  </pic:spPr>
                </pic:pic>
              </a:graphicData>
            </a:graphic>
          </wp:inline>
        </w:drawing>
      </w:r>
    </w:p>
    <w:p w14:paraId="4C0D6FCB" w14:textId="2DBA34E0" w:rsidR="00BB15A4" w:rsidRPr="00E0486B" w:rsidRDefault="00BB15A4" w:rsidP="00635D55">
      <w:pPr>
        <w:jc w:val="both"/>
        <w:rPr>
          <w:rFonts w:ascii="Times New Roman" w:hAnsi="Times New Roman" w:cs="Times New Roman"/>
        </w:rPr>
      </w:pPr>
      <w:r w:rsidRPr="00E0486B">
        <w:rPr>
          <w:rFonts w:ascii="Times New Roman" w:hAnsi="Times New Roman" w:cs="Times New Roman"/>
          <w:noProof/>
        </w:rPr>
        <w:lastRenderedPageBreak/>
        <w:drawing>
          <wp:inline distT="0" distB="0" distL="0" distR="0" wp14:anchorId="5A86D9BE" wp14:editId="46C75BAB">
            <wp:extent cx="5555461" cy="1604547"/>
            <wp:effectExtent l="0" t="0" r="7620" b="0"/>
            <wp:docPr id="9951895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57652" cy="1605180"/>
                    </a:xfrm>
                    <a:prstGeom prst="rect">
                      <a:avLst/>
                    </a:prstGeom>
                    <a:noFill/>
                  </pic:spPr>
                </pic:pic>
              </a:graphicData>
            </a:graphic>
          </wp:inline>
        </w:drawing>
      </w:r>
    </w:p>
    <w:p w14:paraId="1CB5FE3D" w14:textId="77777777" w:rsidR="00BB15A4" w:rsidRPr="00E0486B" w:rsidRDefault="00BB15A4" w:rsidP="00635D55">
      <w:pPr>
        <w:jc w:val="both"/>
        <w:rPr>
          <w:rFonts w:ascii="Times New Roman" w:hAnsi="Times New Roman" w:cs="Times New Roman"/>
        </w:rPr>
      </w:pPr>
    </w:p>
    <w:sectPr w:rsidR="00BB15A4" w:rsidRPr="00E048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740EA"/>
    <w:multiLevelType w:val="multilevel"/>
    <w:tmpl w:val="0C22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A17110"/>
    <w:multiLevelType w:val="multilevel"/>
    <w:tmpl w:val="A57C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4121794">
    <w:abstractNumId w:val="0"/>
  </w:num>
  <w:num w:numId="2" w16cid:durableId="1138108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55"/>
    <w:rsid w:val="000260E2"/>
    <w:rsid w:val="0023019D"/>
    <w:rsid w:val="00635D55"/>
    <w:rsid w:val="0078593F"/>
    <w:rsid w:val="007D7DE6"/>
    <w:rsid w:val="008803F7"/>
    <w:rsid w:val="00891356"/>
    <w:rsid w:val="0097429C"/>
    <w:rsid w:val="00BB15A4"/>
    <w:rsid w:val="00C466B3"/>
    <w:rsid w:val="00DB7F7E"/>
    <w:rsid w:val="00E0486B"/>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71E58"/>
  <w15:chartTrackingRefBased/>
  <w15:docId w15:val="{2ED69169-A9EA-417D-ABD0-B53A2BE8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35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35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35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35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D55"/>
    <w:rPr>
      <w:rFonts w:eastAsiaTheme="majorEastAsia" w:cstheme="majorBidi"/>
      <w:color w:val="272727" w:themeColor="text1" w:themeTint="D8"/>
    </w:rPr>
  </w:style>
  <w:style w:type="paragraph" w:styleId="Title">
    <w:name w:val="Title"/>
    <w:basedOn w:val="Normal"/>
    <w:next w:val="Normal"/>
    <w:link w:val="TitleChar"/>
    <w:uiPriority w:val="10"/>
    <w:qFormat/>
    <w:rsid w:val="00635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D55"/>
    <w:pPr>
      <w:spacing w:before="160"/>
      <w:jc w:val="center"/>
    </w:pPr>
    <w:rPr>
      <w:i/>
      <w:iCs/>
      <w:color w:val="404040" w:themeColor="text1" w:themeTint="BF"/>
    </w:rPr>
  </w:style>
  <w:style w:type="character" w:customStyle="1" w:styleId="QuoteChar">
    <w:name w:val="Quote Char"/>
    <w:basedOn w:val="DefaultParagraphFont"/>
    <w:link w:val="Quote"/>
    <w:uiPriority w:val="29"/>
    <w:rsid w:val="00635D55"/>
    <w:rPr>
      <w:i/>
      <w:iCs/>
      <w:color w:val="404040" w:themeColor="text1" w:themeTint="BF"/>
    </w:rPr>
  </w:style>
  <w:style w:type="paragraph" w:styleId="ListParagraph">
    <w:name w:val="List Paragraph"/>
    <w:basedOn w:val="Normal"/>
    <w:uiPriority w:val="34"/>
    <w:qFormat/>
    <w:rsid w:val="00635D55"/>
    <w:pPr>
      <w:ind w:left="720"/>
      <w:contextualSpacing/>
    </w:pPr>
  </w:style>
  <w:style w:type="character" w:styleId="IntenseEmphasis">
    <w:name w:val="Intense Emphasis"/>
    <w:basedOn w:val="DefaultParagraphFont"/>
    <w:uiPriority w:val="21"/>
    <w:qFormat/>
    <w:rsid w:val="00635D55"/>
    <w:rPr>
      <w:i/>
      <w:iCs/>
      <w:color w:val="0F4761" w:themeColor="accent1" w:themeShade="BF"/>
    </w:rPr>
  </w:style>
  <w:style w:type="paragraph" w:styleId="IntenseQuote">
    <w:name w:val="Intense Quote"/>
    <w:basedOn w:val="Normal"/>
    <w:next w:val="Normal"/>
    <w:link w:val="IntenseQuoteChar"/>
    <w:uiPriority w:val="30"/>
    <w:qFormat/>
    <w:rsid w:val="00635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D55"/>
    <w:rPr>
      <w:i/>
      <w:iCs/>
      <w:color w:val="0F4761" w:themeColor="accent1" w:themeShade="BF"/>
    </w:rPr>
  </w:style>
  <w:style w:type="character" w:styleId="IntenseReference">
    <w:name w:val="Intense Reference"/>
    <w:basedOn w:val="DefaultParagraphFont"/>
    <w:uiPriority w:val="32"/>
    <w:qFormat/>
    <w:rsid w:val="00635D55"/>
    <w:rPr>
      <w:b/>
      <w:bCs/>
      <w:smallCaps/>
      <w:color w:val="0F4761" w:themeColor="accent1" w:themeShade="BF"/>
      <w:spacing w:val="5"/>
    </w:rPr>
  </w:style>
  <w:style w:type="paragraph" w:styleId="NormalWeb">
    <w:name w:val="Normal (Web)"/>
    <w:basedOn w:val="Normal"/>
    <w:uiPriority w:val="99"/>
    <w:semiHidden/>
    <w:unhideWhenUsed/>
    <w:rsid w:val="00C466B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Vedharup Chintala</dc:creator>
  <cp:keywords/>
  <dc:description/>
  <cp:lastModifiedBy>Dr Yarlagadda Padma Sai</cp:lastModifiedBy>
  <cp:revision>2</cp:revision>
  <dcterms:created xsi:type="dcterms:W3CDTF">2026-02-14T06:02:00Z</dcterms:created>
  <dcterms:modified xsi:type="dcterms:W3CDTF">2026-02-14T06:02:00Z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5cf5f196-f2d6-4c72-81fd-af9204fd3470</vt:lpwstr>
  </property>
</Properties>
</file>